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smdcp"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5c3bdef4ea408e" /><Relationship Type="http://schemas.openxmlformats.org/package/2006/relationships/metadata/core-properties" Target="/package/services/metadata/core-properties/16daa9d88bf14f01bbd6e73a28d1088e.psmdcp" Id="R2ea748d51a3d4a3a" /></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B96DBB" w:rsidTr="000949FD">
        <w:trHeight w:val="1350" w:hRule="exact"/>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br/>
            </w: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İÇİŞLERİ BAKANLIĞI</w:t>
            </w:r>
            <w:r>
              <w:rPr>
                <w:rFonts w:ascii="Times New Roman" w:hAnsi="Times New Roman" w:cs="Times New Roman"/>
                <w:sz w:val="24"/>
                <w:szCs w:val="24"/>
              </w:rPr>
              <w:br/>
            </w:r>
            <w:r>
              <w:rPr>
                <w:rFonts w:ascii="Times New Roman" w:hAnsi="Times New Roman" w:cs="Times New Roman"/>
                <w:sz w:val="24"/>
                <w:szCs w:val="24"/>
              </w:rPr>
              <w:t xml:space="preserve">İller İdaresi Genel Müdürlüğü</w:t>
            </w:r>
          </w:p>
        </w:tc>
      </w:tr>
      <w:p>
        <w:pPr>
          <w:spacing w:before="0" w:after="0" w:line="0" w:lineRule="auto"/>
        </w:pPr>
        <w:r>
          <w:drawing>
            <wp:anchor distT="0" distB="0" simplePos="0" relativeHeight="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783f71d61b624f1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drawing>
            <wp:anchor distT="0" distB="0" simplePos="0" relativeHeight="0" behindDoc="1" locked="0" layoutInCell="1" allowOverlap="1">
              <wp:simplePos x="0" y="0"/>
              <wp:positionH relativeFrom="leftMargin">
                <wp:posOffset>5273425</wp:posOffset>
              </wp:positionH>
              <wp:positionV relativeFrom="page">
                <wp:posOffset>246675</wp:posOffset>
              </wp:positionV>
              <wp:extent cx="1743075" cy="476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786708f7a92e4ff1" cstate="print">
                        <a:extLst>
                          <a:ext uri="{28A0092B-C50C-407E-A947-70E740481C1C}">
                            <a14:useLocalDpi xmlns:a14="http://schemas.microsoft.com/office/drawing/2010/main" val="0"/>
                          </a:ext>
                        </a:extLst>
                      </a:blip>
                      <a:stretch>
                        <a:fillRect/>
                      </a:stretch>
                    </pic:blipFill>
                    <pic:spPr>
                      <a:xfrm>
                        <a:off x="0" y="0"/>
                        <a:ext cx="1743075" cy="476250"/>
                      </a:xfrm>
                      <a:prstGeom prst="rect">
                        <a:avLst/>
                      </a:prstGeom>
                    </pic:spPr>
                  </pic:pic>
                </a:graphicData>
              </a:graphic>
              <wp14:sizeRelH relativeFrom="page">
                <wp14:pctWidth>0</wp14:pctWidth>
              </wp14:sizeRelH>
              <wp14:sizeRelV relativeFrom="page">
                <wp14:pctHeight>0</wp14:pctHeight>
              </wp14:sizeRelV>
            </wp:anchor>
          </w:drawing>
        </w:r>
      </w:p>
    </w:tbl>
    <w:p w:rsidRPr="00333CC5" w:rsidR="00B96DBB" w:rsidP="001C6F35" w:rsidRDefault="00B96DBB">
      <w:pPr>
        <w:spacing w:before="40" w:after="2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eGrid"/>
        <w:tblW w:w="0" w:type="auto"/>
        <w:tblBorders>
          <w:top w:val="none" w:color="auto" w:sz="10" w:space="0"/>
          <w:left w:val="none" w:color="auto" w:sz="10" w:space="0"/>
          <w:bottom w:val="none" w:color="auto" w:sz="10" w:space="0"/>
          <w:right w:val="none" w:color="auto" w:sz="10" w:space="0"/>
          <w:insideH w:val="none" w:color="auto" w:sz="10" w:space="0"/>
          <w:insideV w:val="none" w:color="auto" w:sz="10" w:space="0"/>
        </w:tblBorders>
        <w:tblLook w:val="04A0" w:firstRow="true" w:lastRow="false" w:firstColumn="true" w:lastColumn="false" w:noHBand="false" w:noVBand="true"/>
        <w:tblLayout w:type="fixed"/>
        <w:tblCellMar>
          <w:left w:w="0" w:type="dxa"/>
          <w:right w:w="0" w:type="dxa"/>
        </w:tblCellMar>
      </w:tblPr>
      <w:tr w:rsidR="001C6654" w:rsidTr="00F426E6">
        <w:tc>
          <w:tcPr>
            <w:tcW w:w="714" w:type="dxa"/>
            <w:right w:w="0"/>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4394" w:type="dxa"/>
            <w:left w:w="-1000"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E-89780865-153-2446</w:t>
            </w:r>
          </w:p>
        </w:tc>
        <w:tc>
          <w:tcPr>
            <w:tcW w:w="2220" w:type="dxa"/>
          </w:tcPr>
          <w:p w:rsidR="001C6654" w:rsidP="001C6F35" w:rsidRDefault="001C6654">
            <w:r>
              <w:t/>
            </w:r>
          </w:p>
        </w:tc>
        <w:tc>
          <w:tcPr>
            <w:tcW w:w="2955"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11.02.2021</w:t>
            </w:r>
          </w:p>
        </w:tc>
      </w:tr>
      <w:tr w:rsidR="001C6654" w:rsidTr="00F426E6">
        <w:tc>
          <w:tcPr>
            <w:tcW w:w="714"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4394"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Eğitim Personeline Seyahat Muafiyeti</w:t>
            </w:r>
          </w:p>
        </w:tc>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0949FD" w:rsidTr="000949FD">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GELEN EVRAK KOPYA</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817"/>
        <w:gridCol w:w="8395"/>
      </w:tblGrid>
      <w:tr w:rsidR="000949FD" w:rsidTr="000949FD">
        <w:tc>
          <w:tcPr>
            <w:tcW w:w="817"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30.11.2020 tarih ve 20076 sayılı Genelgemiz.</w:t>
            </w:r>
          </w:p>
        </w:tc>
      </w:tr>
    </w:tbl>
    <w:p w:rsidR="00B96DBB" w:rsidP="001C6F35" w:rsidRDefault="00B96DBB">
      <w:pPr>
        <w:spacing w:before="0" w:after="0" w:line="240" w:lineRule="auto"/>
        <w:jc w:val="center"/>
        <w:rPr>
          <w:rFonts w:ascii="Times New Roman" w:hAnsi="Times New Roman" w:cs="Times New Roman"/>
          <w:sz w:val="24"/>
          <w:szCs w:val="24"/>
        </w:rPr>
      </w:pPr>
      <w:r>
        <w:t xml:space="preserve"/>
      </w:r>
    </w:p>
    <w:p w:rsidR="00B96DBB" w:rsidP="001C6F35" w:rsidRDefault="00B96DBB">
      <w:pPr>
        <w:spacing w:before="0" w:after="0" w:line="240" w:lineRule="auto"/>
        <w:jc w:val="center"/>
        <w:rPr>
          <w:rFonts w:ascii="Times New Roman" w:hAnsi="Times New Roman" w:cs="Times New Roman"/>
          <w:sz w:val="24"/>
          <w:szCs w:val="24"/>
        </w:rPr>
      </w:pPr>
      <w:r>
        <w:t xml:space="preserve"/>
      </w:r>
    </w:p>
    <w:p>
      <w:pPr>
        <w:rPr>
          <w:rFonts w:ascii="Times New Roman" w:hAnsi="Times New Roman" w:cs="Times New Roman"/>
          <w:sz w:val="24"/>
          <w:szCs w:val="24"/>
        </w:rPr>
        <w:spacing w:before="0" w:after="0" w:line="240" w:lineRule="auto"/>
        <w:jc w:val="both"/>
      </w:pPr>
      <w:r>
        <w:rPr>
          <w:rFonts w:ascii="Times New Roman" w:hAnsi="Times New Roman" w:cs="Times New Roman"/>
          <w:sz w:val="24"/>
          <w:szCs w:val="24"/>
        </w:rPr>
        <w:br/>
      </w:r>
      <w:r>
        <w:rPr>
          <w:rFonts w:ascii="Times New Roman" w:hAnsi="Times New Roman" w:cs="Times New Roman"/>
          <w:sz w:val="24"/>
          <w:szCs w:val="24"/>
        </w:rPr>
        <w:t xml:space="preserve">        Koronavirüs salgınıyla mücadele kapsamında </w:t>
      </w:r>
      <w:r>
        <w:rPr>
          <w:b/>
          <w:rFonts w:ascii="Times New Roman" w:hAnsi="Times New Roman" w:cs="Times New Roman"/>
          <w:sz w:val="24"/>
          <w:szCs w:val="24"/>
        </w:rPr>
        <w:t xml:space="preserve">01.02.2021 </w:t>
      </w:r>
      <w:r>
        <w:rPr>
          <w:rFonts w:ascii="Times New Roman" w:hAnsi="Times New Roman" w:cs="Times New Roman"/>
          <w:sz w:val="24"/>
          <w:szCs w:val="24"/>
        </w:rPr>
        <w:t xml:space="preserve">tarihinde Sayın Cumhurbaşkanımızın başkanlığında toplanan Cumhurbaşkanlığı Kabinesinde yüz yüze eğitime kademeli olarak başlanılması kararı alınmıştır. Alınan karar doğrultusunda Millî Eğitim Bakanlığının 05.02.2021 tarih ve 20218459 sayılı yazılarıyla 15 Şubat’tan itibaren kademeli olarak yüz yüze eğitime geçilmesine dair sürecin detayları belirlenmiştir.</w:t>
      </w:r>
      <w:r>
        <w:rPr>
          <w:rFonts w:ascii="Times New Roman" w:hAnsi="Times New Roman" w:cs="Times New Roman"/>
          <w:sz w:val="24"/>
          <w:szCs w:val="24"/>
        </w:rPr>
        <w:br/>
      </w:r>
      <w:r>
        <w:rPr>
          <w:rFonts w:ascii="Times New Roman" w:hAnsi="Times New Roman" w:cs="Times New Roman"/>
          <w:sz w:val="24"/>
          <w:szCs w:val="24"/>
        </w:rPr>
        <w:t xml:space="preserve">        Gerek 15 Şubat tarihinden itibaren kademeli olarak yüz yüze eğitime geçilecek olması gerekse yarıyıl tatilinin sona ermesi nedeniyle başta öğretmenlerimiz olmak üzere eğitim-öğretim personelinin bu hafta sonu şehirlerarası seyahatlerinde bir yoğunluk oluşabileceği değerlendirilmektedir.</w:t>
      </w:r>
      <w:r>
        <w:rPr>
          <w:rFonts w:ascii="Times New Roman" w:hAnsi="Times New Roman" w:cs="Times New Roman"/>
          <w:sz w:val="24"/>
          <w:szCs w:val="24"/>
        </w:rPr>
        <w:br/>
      </w:r>
      <w:r>
        <w:rPr>
          <w:rFonts w:ascii="Times New Roman" w:hAnsi="Times New Roman" w:cs="Times New Roman"/>
          <w:sz w:val="24"/>
          <w:szCs w:val="24"/>
        </w:rPr>
        <w:t xml:space="preserve">        Bu çerçevede ilgi Genelgemizle getirilen “sokağa çıkma kısıtlaması uygulanan süre ve günlerde yapılacak şehirlerarası yolculuklarda (toplu ulaşım araçlarıyla yapılanlar hariç) seyahat izin belgesi alınması zorunluluğu” şartından; görev yaptıkları yer dışında bulunan </w:t>
      </w:r>
      <w:r>
        <w:rPr>
          <w:b/>
          <w:rFonts w:ascii="Times New Roman" w:hAnsi="Times New Roman" w:cs="Times New Roman"/>
          <w:sz w:val="24"/>
          <w:szCs w:val="24"/>
        </w:rPr>
        <w:t xml:space="preserve">öğretmenler ile diğer eğitim personelinin</w:t>
      </w:r>
      <w:r>
        <w:rPr>
          <w:rFonts w:ascii="Times New Roman" w:hAnsi="Times New Roman" w:cs="Times New Roman"/>
          <w:sz w:val="24"/>
          <w:szCs w:val="24"/>
        </w:rPr>
        <w:t xml:space="preserve"> </w:t>
      </w:r>
      <w:r>
        <w:rPr>
          <w:b/>
          <w:rFonts w:ascii="Times New Roman" w:hAnsi="Times New Roman" w:cs="Times New Roman"/>
          <w:sz w:val="24"/>
          <w:szCs w:val="24"/>
        </w:rPr>
        <w:t xml:space="preserve">13-14 Şubat 2021</w:t>
      </w:r>
      <w:r>
        <w:rPr>
          <w:rFonts w:ascii="Times New Roman" w:hAnsi="Times New Roman" w:cs="Times New Roman"/>
          <w:sz w:val="24"/>
          <w:szCs w:val="24"/>
        </w:rPr>
        <w:t xml:space="preserve"> tarihlerinde </w:t>
      </w:r>
      <w:r>
        <w:rPr>
          <w:b/>
          <w:rFonts w:ascii="Times New Roman" w:hAnsi="Times New Roman" w:cs="Times New Roman"/>
          <w:sz w:val="24"/>
          <w:szCs w:val="24"/>
        </w:rPr>
        <w:t xml:space="preserve">özel araçlarıyla </w:t>
      </w:r>
      <w:r>
        <w:rPr>
          <w:rFonts w:ascii="Times New Roman" w:hAnsi="Times New Roman" w:cs="Times New Roman"/>
          <w:sz w:val="24"/>
          <w:szCs w:val="24"/>
        </w:rPr>
        <w:t xml:space="preserve">yapacakları şehirlerarası seyahatlerin </w:t>
      </w:r>
      <w:r>
        <w:rPr>
          <w:b/>
          <w:rFonts w:ascii="Times New Roman" w:hAnsi="Times New Roman" w:cs="Times New Roman"/>
          <w:sz w:val="24"/>
          <w:szCs w:val="24"/>
        </w:rPr>
        <w:t xml:space="preserve">muaf tutulması</w:t>
      </w:r>
      <w:r>
        <w:rPr>
          <w:rFonts w:ascii="Times New Roman" w:hAnsi="Times New Roman" w:cs="Times New Roman"/>
          <w:sz w:val="24"/>
          <w:szCs w:val="24"/>
        </w:rPr>
        <w:t xml:space="preserve"> ve denetimler sırasında öğretmen/personel </w:t>
      </w:r>
      <w:r>
        <w:rPr>
          <w:b/>
          <w:rFonts w:ascii="Times New Roman" w:hAnsi="Times New Roman" w:cs="Times New Roman"/>
          <w:sz w:val="24"/>
          <w:szCs w:val="24"/>
        </w:rPr>
        <w:t xml:space="preserve">kimlik kartlarını</w:t>
      </w:r>
      <w:r>
        <w:rPr>
          <w:rFonts w:ascii="Times New Roman" w:hAnsi="Times New Roman" w:cs="Times New Roman"/>
          <w:sz w:val="24"/>
          <w:szCs w:val="24"/>
        </w:rPr>
        <w:t xml:space="preserve"> ibraz ederek </w:t>
      </w:r>
      <w:r>
        <w:rPr>
          <w:b/>
          <w:rFonts w:ascii="Times New Roman" w:hAnsi="Times New Roman" w:cs="Times New Roman"/>
          <w:sz w:val="24"/>
          <w:szCs w:val="24"/>
        </w:rPr>
        <w:t xml:space="preserve">aile bireyleri ile birlikte</w:t>
      </w:r>
      <w:r>
        <w:rPr>
          <w:rFonts w:ascii="Times New Roman" w:hAnsi="Times New Roman" w:cs="Times New Roman"/>
          <w:sz w:val="24"/>
          <w:szCs w:val="24"/>
        </w:rPr>
        <w:t xml:space="preserve"> görev yerlerine özel araçlarıyla seyahat edebilmeleri gerektiği değerlendirilmektedir.</w:t>
      </w:r>
      <w:r>
        <w:rPr>
          <w:rFonts w:ascii="Times New Roman" w:hAnsi="Times New Roman" w:cs="Times New Roman"/>
          <w:sz w:val="24"/>
          <w:szCs w:val="24"/>
        </w:rPr>
        <w:br/>
      </w:r>
      <w:r>
        <w:rPr>
          <w:rFonts w:ascii="Times New Roman" w:hAnsi="Times New Roman" w:cs="Times New Roman"/>
          <w:sz w:val="24"/>
          <w:szCs w:val="24"/>
        </w:rPr>
        <w:t xml:space="preserve">        Valilerimizce uygulamanın yukarıda belirtilen esaslar çerçevesinde yürütülmesi hususunda;</w:t>
      </w:r>
      <w:r>
        <w:rPr>
          <w:rFonts w:ascii="Times New Roman" w:hAnsi="Times New Roman" w:cs="Times New Roman"/>
          <w:sz w:val="24"/>
          <w:szCs w:val="24"/>
        </w:rPr>
        <w:br/>
      </w:r>
      <w:r>
        <w:rPr>
          <w:rFonts w:ascii="Times New Roman" w:hAnsi="Times New Roman" w:cs="Times New Roman"/>
          <w:sz w:val="24"/>
          <w:szCs w:val="24"/>
        </w:rPr>
        <w:t xml:space="preserve">        Bilgi ve gereğini önemle arz ve rica ederim.</w:t>
      </w: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4000"/>
      </w:tblGrid>
      <w:tr w:rsidR="00B96DBB" w:rsidTr="001C6F35">
        <w:trPr>
          <w:jc w:val="right"/>
        </w:trPr>
        <w:tc>
          <w:tcPr>
            <w:tcW w:w="0" w:type="auto"/>
          </w:tcPr>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Süleyman SOYLU</w:t>
            </w:r>
            <w:r>
              <w:rPr>
                <w:rFonts w:ascii="Times New Roman" w:hAnsi="Times New Roman" w:cs="Times New Roman"/>
                <w:sz w:val="24"/>
                <w:szCs w:val="24"/>
              </w:rPr>
              <w:br/>
            </w:r>
            <w:r>
              <w:rPr>
                <w:rFonts w:ascii="Times New Roman" w:hAnsi="Times New Roman" w:cs="Times New Roman"/>
                <w:sz w:val="24"/>
                <w:szCs w:val="24"/>
              </w:rPr>
              <w:t xml:space="preserve">Bakan</w:t>
            </w:r>
            <w:r>
              <w:rPr>
                <w:rFonts w:ascii="Times New Roman" w:hAnsi="Times New Roman" w:cs="Times New Roman"/>
                <w:sz w:val="24"/>
                <w:szCs w:val="24"/>
              </w:rPr>
              <w:br/>
            </w:r>
          </w:p>
        </w:tc>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true" w:lastRow="false" w:firstColumn="true" w:lastColumn="false" w:noHBand="false" w:noVBand="true"/>
      </w:tblPr>
      <w:tblGrid>
        <w:gridCol w:w="4606"/>
        <w:gridCol w:w="4606"/>
      </w:tblGrid>
      <w:tr w:rsidR="000949FD" w:rsidTr="000949FD">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81 İl Valiliğine</w:t>
            </w:r>
            <w:r>
              <w:rPr>
                <w:rFonts w:ascii="Times New Roman" w:hAnsi="Times New Roman" w:cs="Times New Roman"/>
                <w:sz w:val="24"/>
                <w:szCs w:val="24"/>
              </w:rPr>
              <w:br/>
            </w:r>
            <w:r>
              <w:rPr>
                <w:rFonts w:ascii="Times New Roman" w:hAnsi="Times New Roman" w:cs="Times New Roman"/>
                <w:sz w:val="24"/>
                <w:szCs w:val="24"/>
              </w:rPr>
              <w:t xml:space="preserve">Jandarma Genel Komutanlığına</w:t>
            </w:r>
            <w:r>
              <w:rPr>
                <w:rFonts w:ascii="Times New Roman" w:hAnsi="Times New Roman" w:cs="Times New Roman"/>
                <w:sz w:val="24"/>
                <w:szCs w:val="24"/>
              </w:rPr>
              <w:br/>
            </w:r>
            <w:r>
              <w:rPr>
                <w:rFonts w:ascii="Times New Roman" w:hAnsi="Times New Roman" w:cs="Times New Roman"/>
                <w:sz w:val="24"/>
                <w:szCs w:val="24"/>
              </w:rPr>
              <w:t xml:space="preserve">Emniyet Genel Müdürlüğüne</w:t>
            </w:r>
            <w:r>
              <w:rPr>
                <w:rFonts w:ascii="Times New Roman" w:hAnsi="Times New Roman" w:cs="Times New Roman"/>
                <w:sz w:val="24"/>
                <w:szCs w:val="24"/>
              </w:rPr>
              <w:br/>
            </w:r>
            <w:r>
              <w:rPr>
                <w:rFonts w:ascii="Times New Roman" w:hAnsi="Times New Roman" w:cs="Times New Roman"/>
                <w:sz w:val="24"/>
                <w:szCs w:val="24"/>
              </w:rPr>
              <w:t xml:space="preserve">Sahil Güvenlik Komutanlığına</w:t>
            </w:r>
          </w:p>
        </w:tc>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Cumhurbaşkanlığına</w:t>
            </w:r>
            <w:r>
              <w:rPr>
                <w:rFonts w:ascii="Times New Roman" w:hAnsi="Times New Roman" w:cs="Times New Roman"/>
                <w:sz w:val="24"/>
                <w:szCs w:val="24"/>
              </w:rPr>
              <w:br/>
            </w:r>
            <w:r>
              <w:rPr>
                <w:rFonts w:ascii="Times New Roman" w:hAnsi="Times New Roman" w:cs="Times New Roman"/>
                <w:sz w:val="24"/>
                <w:szCs w:val="24"/>
              </w:rPr>
              <w:t xml:space="preserve">Milli Eğitim Bakanlığına</w:t>
            </w:r>
            <w:r>
              <w:rPr>
                <w:rFonts w:ascii="Times New Roman" w:hAnsi="Times New Roman" w:cs="Times New Roman"/>
                <w:sz w:val="24"/>
                <w:szCs w:val="24"/>
              </w:rPr>
              <w:br/>
            </w:r>
            <w:r>
              <w:rPr>
                <w:rFonts w:ascii="Times New Roman" w:hAnsi="Times New Roman" w:cs="Times New Roman"/>
                <w:sz w:val="24"/>
                <w:szCs w:val="24"/>
              </w:rPr>
              <w:t xml:space="preserve">Sağlık Bakanlığına</w:t>
            </w:r>
            <w:r>
              <w:rPr>
                <w:rFonts w:ascii="Times New Roman" w:hAnsi="Times New Roman" w:cs="Times New Roman"/>
                <w:sz w:val="24"/>
                <w:szCs w:val="24"/>
              </w:rPr>
              <w:br/>
            </w:r>
            <w:r>
              <w:rPr>
                <w:rFonts w:ascii="Times New Roman" w:hAnsi="Times New Roman" w:cs="Times New Roman"/>
                <w:sz w:val="24"/>
                <w:szCs w:val="24"/>
              </w:rPr>
              <w:t xml:space="preserve">Ulaştırma ve Altyapı Bakanlığına</w:t>
            </w:r>
          </w:p>
        </w:tc>
      </w:tr>
    </w:tbl>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sectPr w:rsidRPr="00B96DBB" w:rsidR="00230B5A"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0" w:lineRule="auto"/>
    </w:pPr>
    <w:r>
      <w:drawing>
        <wp:anchor distT="0" distB="0" simplePos="0" relativeHeight="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26ab337bd93c4602"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tblGrid>
    <w:tr>
      <w:tc>
        <w:tcPr>
          <w:vAlign w:val="center"/>
        </w:tcPr>
        <w:p>
          <w:pPr>
            <w:rPr>
              <w:rFonts w:ascii="Times New Roman" w:hAnsi="Times New Roman" w:cs="Times New Roman"/>
              <w:sz w:val="24"/>
              <w:szCs w:val="24"/>
            </w:rPr>
            <w:spacing w:before="0" w:after="0" w:line="240" w:lineRule="auto"/>
            <w:keepNext/>
            <w:jc w:val="center"/>
          </w:pPr>
          <w:r>
            <w:rPr>
              <w:color w:val="FF0000"/>
              <w:rFonts w:ascii="Times New Roman" w:hAnsi="Times New Roman" w:cs="Times New Roman"/>
              <w:sz w:val="18"/>
              <w:szCs w:val="18"/>
            </w:rPr>
            <w:t xml:space="preserve">Bu belge, güvenli elektronik imza ile imzalanmıştır.</w:t>
          </w:r>
        </w:p>
      </w:tc>
    </w:tr>
    <w:tr>
      <w:tc>
        <w:tcPr>
          <w:vAlign w:val="center"/>
        </w:tcPr>
        <w:p>
          <w:pPr>
            <w:rPr>
              <w:rFonts w:ascii="Times New Roman" w:hAnsi="Times New Roman" w:cs="Times New Roman"/>
              <w:sz w:val="24"/>
              <w:szCs w:val="24"/>
            </w:rPr>
            <w:spacing w:before="0" w:after="0" w:line="240" w:lineRule="auto"/>
            <w:keepNext/>
            <w:jc w:val="center"/>
          </w:pPr>
          <w:r>
            <w:rPr>
              <w:rFonts w:ascii="Times New Roman" w:hAnsi="Times New Roman" w:cs="Times New Roman"/>
              <w:sz w:val="18"/>
              <w:szCs w:val="18"/>
            </w:rPr>
            <w:t xml:space="preserve"> Doğrulama Kodu: 1JNQVY-xaSR2N-GHvnP0-DbVl/D-w7aAZ6yU Doğrulama Linki: https://www.turkiye.gov.tr/icisleri-ebys</w:t>
          </w:r>
        </w:p>
      </w:tc>
    </w:tr>
  </w:tbl>
  <w:p>
    <w:pPr>
      <w:pBdr>
        <w:bottom w:val="single" w:color="auto" w:sz="8" w:space="1"/>
      </w:pBdr>
    </w:pP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tblGrid>
    <w:tr>
      <w:tc>
        <w:tcPr>
          <w:tcW w:w="3000" w:type="pct"/>
          <w:vAlign w:val="center"/>
        </w:tcPr>
        <w:p>
          <w:pPr>
            <w:spacing w:before="0" w:after="0" w:line="240" w:lineRule="auto"/>
            <w:rPr>
              <w:rFonts w:ascii="Times New Roman" w:hAnsi="Times New Roman" w:cs="Times New Roman"/>
              <w:sz w:val="24"/>
              <w:szCs w:val="24"/>
            </w:rPr>
          </w:pPr>
          <w:r>
            <w:rPr>
              <w:sz w:val="16"/>
              <w:rFonts w:ascii="Times New Roman" w:hAnsi="Times New Roman" w:cs="Times New Roman"/>
              <w:szCs w:val="18"/>
            </w:rPr>
            <w:t xml:space="preserve">Kavaklıdere Mahallesi, Atatürk Bulvarı, No:191 Çankaya/Ankara 06680</w:t>
          </w:r>
          <w:r>
            <w:rPr>
              <w:rFonts w:ascii="Times New Roman" w:hAnsi="Times New Roman" w:cs="Times New Roman"/>
              <w:sz w:val="18"/>
              <w:szCs w:val="18"/>
            </w:rPr>
            <w:br/>
          </w:r>
          <w:r>
            <w:rPr>
              <w:sz w:val="16"/>
              <w:rFonts w:ascii="Times New Roman" w:hAnsi="Times New Roman" w:cs="Times New Roman"/>
              <w:szCs w:val="18"/>
            </w:rPr>
            <w:t xml:space="preserve">Telefon No: (312)422 42 83 Dahili: 4283 - 4285 Faks No: (312)417 93 86</w:t>
          </w:r>
          <w:r>
            <w:rPr>
              <w:rFonts w:ascii="Times New Roman" w:hAnsi="Times New Roman" w:cs="Times New Roman"/>
              <w:sz w:val="18"/>
              <w:szCs w:val="18"/>
            </w:rPr>
            <w:br/>
          </w:r>
          <w:r>
            <w:rPr>
              <w:sz w:val="16"/>
              <w:rFonts w:ascii="Times New Roman" w:hAnsi="Times New Roman" w:cs="Times New Roman"/>
              <w:szCs w:val="18"/>
            </w:rPr>
            <w:t xml:space="preserve">e-Posta: </w:t>
          </w:r>
          <w:r>
            <w:rPr>
              <w:sz w:val="16"/>
              <w:u w:val="single"/>
              <w:rFonts w:ascii="Times New Roman" w:hAnsi="Times New Roman" w:cs="Times New Roman"/>
              <w:szCs w:val="18"/>
            </w:rPr>
            <w:t xml:space="preserve">syb@icisleri.gov.tr</w:t>
          </w:r>
          <w:r>
            <w:rPr>
              <w:sz w:val="16"/>
              <w:rFonts w:ascii="Times New Roman" w:hAnsi="Times New Roman" w:cs="Times New Roman"/>
              <w:szCs w:val="18"/>
            </w:rPr>
            <w:t xml:space="preserve"> İnternet Adresi: </w:t>
          </w:r>
          <w:r>
            <w:rPr>
              <w:sz w:val="16"/>
              <w:u w:val="single"/>
              <w:rFonts w:ascii="Times New Roman" w:hAnsi="Times New Roman" w:cs="Times New Roman"/>
              <w:szCs w:val="18"/>
            </w:rPr>
            <w:t xml:space="preserve">https://www.icisleri.gov.tr/illeridaresi</w:t>
          </w:r>
          <w:r>
            <w:rPr>
              <w:rFonts w:ascii="Times New Roman" w:hAnsi="Times New Roman" w:cs="Times New Roman"/>
              <w:sz w:val="18"/>
              <w:szCs w:val="18"/>
            </w:rPr>
            <w:br/>
          </w:r>
          <w:r>
            <w:rPr>
              <w:sz w:val="16"/>
              <w:rFonts w:ascii="Times New Roman" w:hAnsi="Times New Roman" w:cs="Times New Roman"/>
              <w:szCs w:val="18"/>
            </w:rPr>
            <w:t xml:space="preserve">Kep Adresi: icisleribakanligi@hs01.kep.tr</w:t>
          </w:r>
        </w:p>
      </w:tc>
      <w:tc>
        <w:tcPr>
          <w:tcW w:w="1450" w:type="pct"/>
          <w:vAlign w:val="center"/>
        </w:tcPr>
        <w:p>
          <w:pPr>
            <w:rPr>
              <w:rFonts w:ascii="Times New Roman" w:hAnsi="Times New Roman" w:cs="Times New Roman"/>
              <w:sz w:val="24"/>
              <w:szCs w:val="24"/>
            </w:rPr>
            <w:spacing w:before="0" w:after="0" w:line="240" w:lineRule="auto"/>
            <w:keepNext/>
            <w:jc w:val="right"/>
          </w:pPr>
        </w:p>
      </w:tc>
      <w:tc>
        <w:tcPr>
          <w:tcW w:w="550" w:type="pct"/>
          <w:tcMar/>
          <w:vAlign w:val="center"/>
        </w:tcPr>
        <w:p>
          <w:pPr>
            <w:rPr>
              <w:rFonts w:ascii="Times New Roman" w:hAnsi="Times New Roman" w:cs="Times New Roman"/>
              <w:sz w:val="24"/>
              <w:szCs w:val="24"/>
            </w:rPr>
            <w:spacing w:before="0" w:after="0" w:line="240" w:lineRule="auto"/>
            <w:keepNext/>
            <w:jc w:val="right"/>
          </w:pPr>
        </w:p>
      </w:tc>
    </w:tr>
  </w:tbl>
  <w:p w:rsidRPr="00A52013" w:rsidR="00E574F6"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doNotExpandShiftRetur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jpg" Id="R783f71d61b624f12" /><Relationship Type="http://schemas.openxmlformats.org/officeDocument/2006/relationships/image" Target="/media/image2.jpg" Id="R786708f7a92e4ff1" /><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xml" Id="rId7" /><Relationship Type="http://schemas.openxmlformats.org/officeDocument/2006/relationships/styles" Target="/word/styles.xml" Id="R4915d7da182b478f" /><Relationship Type="http://schemas.microsoft.com/office/2007/relationships/stylesWithEffects" Target="/word/stylesWithEffects.xml" Id="rId2" /><Relationship Type="http://schemas.openxmlformats.org/officeDocument/2006/relationships/numbering" Target="/word/numbering.xml" Id="rId999"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xml" Id="rId9" /></Relationships>
</file>

<file path=word/_rels/footer1.xml.rels>&#65279;<?xml version="1.0" encoding="utf-8"?><Relationships xmlns="http://schemas.openxmlformats.org/package/2006/relationships"><Relationship Type="http://schemas.openxmlformats.org/officeDocument/2006/relationships/image" Target="/media/image3.jpg" Id="R26ab337bd93c46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